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9E" w:rsidRDefault="002E1A9E" w:rsidP="002E1A9E">
      <w:pPr>
        <w:pStyle w:val="Heading2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2E1A9E" w:rsidRPr="00955407" w:rsidRDefault="002E1A9E" w:rsidP="002E1A9E">
      <w:pPr>
        <w:jc w:val="center"/>
        <w:rPr>
          <w:b/>
          <w:color w:val="00589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-123825</wp:posOffset>
            </wp:positionV>
            <wp:extent cx="1190625" cy="1019175"/>
            <wp:effectExtent l="0" t="0" r="9525" b="9525"/>
            <wp:wrapNone/>
            <wp:docPr id="2" name="Picture 2" descr="Description: G:\District Logo\dc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District Logo\dcfla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976" r="-1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-9525</wp:posOffset>
            </wp:positionV>
            <wp:extent cx="1028700" cy="1019175"/>
            <wp:effectExtent l="0" t="0" r="0" b="0"/>
            <wp:wrapNone/>
            <wp:docPr id="1" name="Picture 1" descr="Description: G:\District Logo\onec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:\District Logo\onecit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22" t="-6076" r="-243" b="-6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A9E" w:rsidRPr="00955407" w:rsidRDefault="002E1A9E" w:rsidP="002E1A9E">
      <w:pPr>
        <w:jc w:val="center"/>
        <w:rPr>
          <w:b/>
          <w:color w:val="00589A"/>
        </w:rPr>
      </w:pPr>
      <w:r w:rsidRPr="00955407">
        <w:rPr>
          <w:b/>
          <w:color w:val="00589A"/>
        </w:rPr>
        <w:t>Government of the District of Columbia</w:t>
      </w:r>
    </w:p>
    <w:p w:rsidR="002E1A9E" w:rsidRPr="00955407" w:rsidRDefault="002E1A9E" w:rsidP="002E1A9E">
      <w:pPr>
        <w:jc w:val="center"/>
        <w:rPr>
          <w:b/>
          <w:color w:val="00589A"/>
        </w:rPr>
      </w:pPr>
      <w:r w:rsidRPr="00955407">
        <w:rPr>
          <w:b/>
          <w:color w:val="00589A"/>
        </w:rPr>
        <w:t>Vincent C. Gray, Mayor</w:t>
      </w:r>
    </w:p>
    <w:p w:rsidR="002E1A9E" w:rsidRPr="00955407" w:rsidRDefault="002E1A9E" w:rsidP="002E1A9E">
      <w:pPr>
        <w:jc w:val="center"/>
        <w:rPr>
          <w:b/>
          <w:color w:val="00589A"/>
        </w:rPr>
      </w:pPr>
      <w:r w:rsidRPr="00955407">
        <w:rPr>
          <w:b/>
          <w:color w:val="00589A"/>
        </w:rPr>
        <w:t>Department of Insurance, Securities and Banking</w:t>
      </w:r>
    </w:p>
    <w:p w:rsidR="002E1A9E" w:rsidRPr="00955407" w:rsidRDefault="002E1A9E" w:rsidP="002E1A9E">
      <w:pPr>
        <w:jc w:val="center"/>
        <w:rPr>
          <w:b/>
          <w:color w:val="00589A"/>
          <w:sz w:val="28"/>
          <w:szCs w:val="28"/>
        </w:rPr>
      </w:pPr>
    </w:p>
    <w:p w:rsidR="002E1A9E" w:rsidRPr="00955407" w:rsidRDefault="002E1A9E" w:rsidP="002E1A9E">
      <w:pPr>
        <w:jc w:val="center"/>
        <w:rPr>
          <w:b/>
          <w:color w:val="00589A"/>
          <w:sz w:val="28"/>
          <w:szCs w:val="28"/>
        </w:rPr>
      </w:pPr>
    </w:p>
    <w:p w:rsidR="002E1A9E" w:rsidRPr="00955407" w:rsidRDefault="002E1A9E" w:rsidP="002E1A9E">
      <w:pPr>
        <w:ind w:hanging="360"/>
        <w:rPr>
          <w:b/>
          <w:sz w:val="20"/>
          <w:szCs w:val="20"/>
        </w:rPr>
      </w:pPr>
    </w:p>
    <w:p w:rsidR="002E1A9E" w:rsidRPr="00955407" w:rsidRDefault="002E1A9E" w:rsidP="002E1A9E">
      <w:pPr>
        <w:ind w:left="-540" w:firstLine="540"/>
        <w:rPr>
          <w:b/>
          <w:color w:val="00589A"/>
          <w:sz w:val="20"/>
          <w:szCs w:val="20"/>
        </w:rPr>
      </w:pPr>
      <w:r w:rsidRPr="00955407">
        <w:rPr>
          <w:b/>
          <w:color w:val="00589A"/>
          <w:sz w:val="20"/>
          <w:szCs w:val="20"/>
        </w:rPr>
        <w:t>William P. White</w:t>
      </w:r>
    </w:p>
    <w:p w:rsidR="002E1A9E" w:rsidRPr="00955407" w:rsidRDefault="002E1A9E" w:rsidP="002E1A9E">
      <w:pPr>
        <w:ind w:left="-540" w:firstLine="540"/>
        <w:rPr>
          <w:b/>
          <w:color w:val="00589A"/>
          <w:sz w:val="20"/>
          <w:szCs w:val="20"/>
        </w:rPr>
      </w:pPr>
      <w:r w:rsidRPr="00955407">
        <w:rPr>
          <w:b/>
          <w:color w:val="00589A"/>
          <w:sz w:val="20"/>
          <w:szCs w:val="20"/>
        </w:rPr>
        <w:t>Commissioner</w:t>
      </w:r>
    </w:p>
    <w:p w:rsidR="002E1A9E" w:rsidRPr="00955407" w:rsidRDefault="002E1A9E" w:rsidP="002E1A9E">
      <w:pPr>
        <w:ind w:left="-540"/>
        <w:rPr>
          <w:b/>
          <w:color w:val="00589A"/>
          <w:sz w:val="20"/>
          <w:szCs w:val="20"/>
        </w:rPr>
      </w:pPr>
    </w:p>
    <w:p w:rsidR="00051192" w:rsidRPr="002E1A9E" w:rsidRDefault="007F1516" w:rsidP="007F151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A9E">
        <w:rPr>
          <w:rFonts w:ascii="Times New Roman" w:hAnsi="Times New Roman" w:cs="Times New Roman"/>
          <w:b/>
          <w:sz w:val="28"/>
          <w:szCs w:val="28"/>
        </w:rPr>
        <w:t xml:space="preserve">Notice to All </w:t>
      </w:r>
      <w:r w:rsidR="00D1635E" w:rsidRPr="002E1A9E">
        <w:rPr>
          <w:rFonts w:ascii="Times New Roman" w:hAnsi="Times New Roman" w:cs="Times New Roman"/>
          <w:b/>
          <w:sz w:val="28"/>
          <w:szCs w:val="28"/>
        </w:rPr>
        <w:t xml:space="preserve">Domestic </w:t>
      </w:r>
      <w:r w:rsidRPr="002E1A9E">
        <w:rPr>
          <w:rFonts w:ascii="Times New Roman" w:hAnsi="Times New Roman" w:cs="Times New Roman"/>
          <w:b/>
          <w:sz w:val="28"/>
          <w:szCs w:val="28"/>
        </w:rPr>
        <w:t>Risk Retention Groups</w:t>
      </w:r>
    </w:p>
    <w:p w:rsidR="007F1516" w:rsidRPr="002E1A9E" w:rsidRDefault="007F1516" w:rsidP="007F151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A9E">
        <w:rPr>
          <w:rFonts w:ascii="Times New Roman" w:hAnsi="Times New Roman" w:cs="Times New Roman"/>
          <w:b/>
          <w:sz w:val="28"/>
          <w:szCs w:val="28"/>
        </w:rPr>
        <w:t>Licensed in the District of Columbia</w:t>
      </w:r>
    </w:p>
    <w:p w:rsidR="007F1516" w:rsidRDefault="007F1516" w:rsidP="007F151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F1516" w:rsidRDefault="002E1A9E" w:rsidP="007F15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="00725CF6">
        <w:rPr>
          <w:rFonts w:ascii="Times New Roman" w:hAnsi="Times New Roman" w:cs="Times New Roman"/>
          <w:sz w:val="24"/>
          <w:szCs w:val="24"/>
        </w:rPr>
        <w:t>4</w:t>
      </w:r>
      <w:r w:rsidR="007F1516">
        <w:rPr>
          <w:rFonts w:ascii="Times New Roman" w:hAnsi="Times New Roman" w:cs="Times New Roman"/>
          <w:sz w:val="24"/>
          <w:szCs w:val="24"/>
        </w:rPr>
        <w:t>, 2012</w:t>
      </w:r>
    </w:p>
    <w:p w:rsidR="007F1516" w:rsidRDefault="007F1516" w:rsidP="007F15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67433" w:rsidRDefault="007F1516" w:rsidP="007F15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</w:t>
      </w:r>
      <w:r w:rsidR="002E1A9E">
        <w:rPr>
          <w:rFonts w:ascii="Times New Roman" w:hAnsi="Times New Roman" w:cs="Times New Roman"/>
          <w:sz w:val="24"/>
          <w:szCs w:val="24"/>
        </w:rPr>
        <w:t xml:space="preserve"> March 14, 2012</w:t>
      </w:r>
      <w:r>
        <w:rPr>
          <w:rFonts w:ascii="Times New Roman" w:hAnsi="Times New Roman" w:cs="Times New Roman"/>
          <w:sz w:val="24"/>
          <w:szCs w:val="24"/>
        </w:rPr>
        <w:t>, the District of Columbia enacted the Captive Insurance Company Amendment Act of 2012 (the “Act”)</w:t>
      </w:r>
      <w:r w:rsidR="00E01BDB">
        <w:rPr>
          <w:rFonts w:ascii="Times New Roman" w:hAnsi="Times New Roman" w:cs="Times New Roman"/>
          <w:sz w:val="24"/>
          <w:szCs w:val="24"/>
        </w:rPr>
        <w:t xml:space="preserve"> </w:t>
      </w:r>
      <w:r w:rsidR="002E1A9E">
        <w:rPr>
          <w:rFonts w:ascii="Times New Roman" w:hAnsi="Times New Roman" w:cs="Times New Roman"/>
          <w:sz w:val="24"/>
          <w:szCs w:val="24"/>
        </w:rPr>
        <w:t xml:space="preserve">(D.C. Law 19-0103), and on September 28, 2012, the District of Columbia Department of Insurance, Securities and Banking (“DISB”) published proposed rules in the </w:t>
      </w:r>
      <w:r w:rsidR="002E1A9E" w:rsidRPr="002E1A9E">
        <w:rPr>
          <w:rFonts w:ascii="Times New Roman" w:hAnsi="Times New Roman" w:cs="Times New Roman"/>
          <w:i/>
          <w:sz w:val="24"/>
          <w:szCs w:val="24"/>
        </w:rPr>
        <w:t>D.C. Register</w:t>
      </w:r>
      <w:r w:rsidR="002E1A9E">
        <w:rPr>
          <w:rFonts w:ascii="Times New Roman" w:hAnsi="Times New Roman" w:cs="Times New Roman"/>
          <w:sz w:val="24"/>
          <w:szCs w:val="24"/>
        </w:rPr>
        <w:t xml:space="preserve"> </w:t>
      </w:r>
      <w:r w:rsidR="00167433">
        <w:rPr>
          <w:rFonts w:ascii="Times New Roman" w:hAnsi="Times New Roman" w:cs="Times New Roman"/>
          <w:sz w:val="24"/>
          <w:szCs w:val="24"/>
        </w:rPr>
        <w:t xml:space="preserve">(Vol. 59 – No. 39) </w:t>
      </w:r>
      <w:r w:rsidR="002E1A9E">
        <w:rPr>
          <w:rFonts w:ascii="Times New Roman" w:hAnsi="Times New Roman" w:cs="Times New Roman"/>
          <w:sz w:val="24"/>
          <w:szCs w:val="24"/>
        </w:rPr>
        <w:t xml:space="preserve">to implement </w:t>
      </w:r>
      <w:r w:rsidR="00E01BDB">
        <w:rPr>
          <w:rFonts w:ascii="Times New Roman" w:hAnsi="Times New Roman" w:cs="Times New Roman"/>
          <w:sz w:val="24"/>
          <w:szCs w:val="24"/>
        </w:rPr>
        <w:t xml:space="preserve">the </w:t>
      </w:r>
      <w:r w:rsidR="002E1A9E">
        <w:rPr>
          <w:rFonts w:ascii="Times New Roman" w:hAnsi="Times New Roman" w:cs="Times New Roman"/>
          <w:sz w:val="24"/>
          <w:szCs w:val="24"/>
        </w:rPr>
        <w:t xml:space="preserve">revised </w:t>
      </w:r>
      <w:r w:rsidR="00E01BDB">
        <w:rPr>
          <w:rFonts w:ascii="Times New Roman" w:hAnsi="Times New Roman" w:cs="Times New Roman"/>
          <w:sz w:val="24"/>
          <w:szCs w:val="24"/>
        </w:rPr>
        <w:t xml:space="preserve">accreditation standards </w:t>
      </w:r>
      <w:r w:rsidR="002E1A9E">
        <w:rPr>
          <w:rFonts w:ascii="Times New Roman" w:hAnsi="Times New Roman" w:cs="Times New Roman"/>
          <w:sz w:val="24"/>
          <w:szCs w:val="24"/>
        </w:rPr>
        <w:t xml:space="preserve">promulgated by </w:t>
      </w:r>
      <w:r w:rsidR="00E01BDB">
        <w:rPr>
          <w:rFonts w:ascii="Times New Roman" w:hAnsi="Times New Roman" w:cs="Times New Roman"/>
          <w:sz w:val="24"/>
          <w:szCs w:val="24"/>
        </w:rPr>
        <w:t>the National Association of Insurance Commissioners.</w:t>
      </w:r>
      <w:r w:rsidR="00725CF6">
        <w:rPr>
          <w:rFonts w:ascii="Times New Roman" w:hAnsi="Times New Roman" w:cs="Times New Roman"/>
          <w:sz w:val="24"/>
          <w:szCs w:val="24"/>
        </w:rPr>
        <w:t xml:space="preserve"> Copies of the Act and the proposed rules are attached.</w:t>
      </w:r>
    </w:p>
    <w:p w:rsidR="00167433" w:rsidRDefault="00167433" w:rsidP="007F15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433" w:rsidRPr="00713833" w:rsidRDefault="007F1516" w:rsidP="00167433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Act requires all </w:t>
      </w:r>
      <w:r w:rsidR="00D1635E">
        <w:rPr>
          <w:rFonts w:ascii="Times New Roman" w:hAnsi="Times New Roman" w:cs="Times New Roman"/>
          <w:sz w:val="24"/>
          <w:szCs w:val="24"/>
        </w:rPr>
        <w:t>domestic risk retention group captives (“RRGs”) licensed</w:t>
      </w:r>
      <w:r>
        <w:rPr>
          <w:rFonts w:ascii="Times New Roman" w:hAnsi="Times New Roman" w:cs="Times New Roman"/>
          <w:sz w:val="24"/>
          <w:szCs w:val="24"/>
        </w:rPr>
        <w:t xml:space="preserve"> in the District of Columbia to comply with the following insurance laws, which previously were not applicable</w:t>
      </w:r>
      <w:r w:rsidR="00D1635E">
        <w:rPr>
          <w:rFonts w:ascii="Times New Roman" w:hAnsi="Times New Roman" w:cs="Times New Roman"/>
          <w:sz w:val="24"/>
          <w:szCs w:val="24"/>
        </w:rPr>
        <w:t xml:space="preserve"> to RRGs</w:t>
      </w:r>
      <w:r w:rsidR="00F119A8">
        <w:rPr>
          <w:rFonts w:ascii="Times New Roman" w:hAnsi="Times New Roman" w:cs="Times New Roman"/>
          <w:sz w:val="24"/>
          <w:szCs w:val="24"/>
        </w:rPr>
        <w:t>.</w:t>
      </w:r>
      <w:r w:rsidR="003756DB">
        <w:rPr>
          <w:rFonts w:ascii="Times New Roman" w:hAnsi="Times New Roman" w:cs="Times New Roman"/>
          <w:sz w:val="24"/>
          <w:szCs w:val="24"/>
        </w:rPr>
        <w:t xml:space="preserve">  RRGs shall continue to be subject to the Captive Insurance Company Act of 2004, as amended, and the Risk Retention Act of 1993.</w:t>
      </w:r>
      <w:r w:rsidR="00F119A8">
        <w:rPr>
          <w:rFonts w:ascii="Times New Roman" w:hAnsi="Times New Roman" w:cs="Times New Roman"/>
          <w:sz w:val="24"/>
          <w:szCs w:val="24"/>
        </w:rPr>
        <w:t xml:space="preserve"> </w:t>
      </w:r>
      <w:r w:rsidR="00713833" w:rsidRPr="00713833">
        <w:rPr>
          <w:rFonts w:ascii="Times New Roman" w:hAnsi="Times New Roman" w:cs="Times New Roman"/>
          <w:b/>
          <w:sz w:val="24"/>
          <w:szCs w:val="24"/>
        </w:rPr>
        <w:t>Captive insurers that are not licensed as RRGs are not subject to these new provisions.</w:t>
      </w:r>
    </w:p>
    <w:p w:rsidR="00167433" w:rsidRDefault="00167433" w:rsidP="007F15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1516" w:rsidRDefault="007F1516" w:rsidP="007F15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Risk Limitation provisions of the Fire and Casualty Act of 1940. D.C. Official Code § 31-2502.12.</w:t>
      </w:r>
    </w:p>
    <w:p w:rsidR="007F1516" w:rsidRDefault="007F1516" w:rsidP="007F15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Investments of Insurers Act of 2002.  D.C. Official Code §§ 31-1371.01 – 31-1371.07, 31-1373.01 – 31-1373.12, and 31-1375.01. </w:t>
      </w:r>
    </w:p>
    <w:p w:rsidR="007F1516" w:rsidRDefault="007F1516" w:rsidP="007F15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Annual Audited Financial Reports Act of 1993. D.C. Official Code § 31</w:t>
      </w:r>
      <w:r w:rsidR="00F119A8">
        <w:rPr>
          <w:rFonts w:ascii="Times New Roman" w:hAnsi="Times New Roman" w:cs="Times New Roman"/>
          <w:sz w:val="24"/>
          <w:szCs w:val="24"/>
        </w:rPr>
        <w:t xml:space="preserve">-301. </w:t>
      </w:r>
    </w:p>
    <w:p w:rsidR="00F119A8" w:rsidRDefault="00042446" w:rsidP="00F119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119A8">
        <w:rPr>
          <w:rFonts w:ascii="Times New Roman" w:hAnsi="Times New Roman" w:cs="Times New Roman"/>
          <w:sz w:val="24"/>
          <w:szCs w:val="24"/>
        </w:rPr>
        <w:t xml:space="preserve">he Property and Casualty Actuarial Opinion Amendment Act of 2008. </w:t>
      </w:r>
      <w:r w:rsidR="00F119A8" w:rsidRPr="00F119A8">
        <w:rPr>
          <w:rFonts w:ascii="Times New Roman" w:hAnsi="Times New Roman" w:cs="Times New Roman"/>
          <w:sz w:val="24"/>
          <w:szCs w:val="24"/>
        </w:rPr>
        <w:t xml:space="preserve">D.C. </w:t>
      </w:r>
      <w:r w:rsidR="00F119A8">
        <w:rPr>
          <w:rFonts w:ascii="Times New Roman" w:hAnsi="Times New Roman" w:cs="Times New Roman"/>
          <w:sz w:val="24"/>
          <w:szCs w:val="24"/>
        </w:rPr>
        <w:t>Official Code §§ 31-2502.26a and 31-2502.26b.</w:t>
      </w:r>
    </w:p>
    <w:p w:rsidR="00F119A8" w:rsidRDefault="009A5305" w:rsidP="009A53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305">
        <w:rPr>
          <w:rFonts w:ascii="Times New Roman" w:hAnsi="Times New Roman" w:cs="Times New Roman"/>
          <w:sz w:val="24"/>
          <w:szCs w:val="24"/>
        </w:rPr>
        <w:t>The Business Transacted with Producer Controlled Insurer Act of 1993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9A5305">
        <w:rPr>
          <w:rFonts w:ascii="Times New Roman" w:hAnsi="Times New Roman" w:cs="Times New Roman"/>
          <w:sz w:val="24"/>
          <w:szCs w:val="24"/>
        </w:rPr>
        <w:t xml:space="preserve">D.C. </w:t>
      </w:r>
      <w:r>
        <w:rPr>
          <w:rFonts w:ascii="Times New Roman" w:hAnsi="Times New Roman" w:cs="Times New Roman"/>
          <w:sz w:val="24"/>
          <w:szCs w:val="24"/>
        </w:rPr>
        <w:t>Official Code § 31-401 et seq.).</w:t>
      </w:r>
    </w:p>
    <w:p w:rsidR="009A5305" w:rsidRDefault="009A5305" w:rsidP="009A53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305">
        <w:rPr>
          <w:rFonts w:ascii="Times New Roman" w:hAnsi="Times New Roman" w:cs="Times New Roman"/>
          <w:sz w:val="24"/>
          <w:szCs w:val="24"/>
        </w:rPr>
        <w:t>The Holding Company System Act of 1993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5305">
        <w:rPr>
          <w:rFonts w:ascii="Times New Roman" w:hAnsi="Times New Roman" w:cs="Times New Roman"/>
          <w:sz w:val="24"/>
          <w:szCs w:val="24"/>
        </w:rPr>
        <w:t xml:space="preserve"> D.C. </w:t>
      </w:r>
      <w:r w:rsidR="0064503C">
        <w:rPr>
          <w:rFonts w:ascii="Times New Roman" w:hAnsi="Times New Roman" w:cs="Times New Roman"/>
          <w:sz w:val="24"/>
          <w:szCs w:val="24"/>
        </w:rPr>
        <w:t>Official Code § 31-701 et seq.</w:t>
      </w:r>
    </w:p>
    <w:p w:rsidR="009A5305" w:rsidRDefault="009A5305" w:rsidP="009A53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305">
        <w:rPr>
          <w:rFonts w:ascii="Times New Roman" w:hAnsi="Times New Roman" w:cs="Times New Roman"/>
          <w:sz w:val="24"/>
          <w:szCs w:val="24"/>
        </w:rPr>
        <w:t>The Managing General Agents Act of 1993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5305">
        <w:rPr>
          <w:rFonts w:ascii="Times New Roman" w:hAnsi="Times New Roman" w:cs="Times New Roman"/>
          <w:sz w:val="24"/>
          <w:szCs w:val="24"/>
        </w:rPr>
        <w:t xml:space="preserve"> D.C. O</w:t>
      </w:r>
      <w:r w:rsidR="0064503C">
        <w:rPr>
          <w:rFonts w:ascii="Times New Roman" w:hAnsi="Times New Roman" w:cs="Times New Roman"/>
          <w:sz w:val="24"/>
          <w:szCs w:val="24"/>
        </w:rPr>
        <w:t>fficial Code § 31-1501 et seq.</w:t>
      </w:r>
    </w:p>
    <w:p w:rsidR="009A5305" w:rsidRDefault="009A5305" w:rsidP="009A53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305">
        <w:rPr>
          <w:rFonts w:ascii="Times New Roman" w:hAnsi="Times New Roman" w:cs="Times New Roman"/>
          <w:sz w:val="24"/>
          <w:szCs w:val="24"/>
        </w:rPr>
        <w:t>The Reinsurance Intermediary Act of 1993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5305">
        <w:rPr>
          <w:rFonts w:ascii="Times New Roman" w:hAnsi="Times New Roman" w:cs="Times New Roman"/>
          <w:sz w:val="24"/>
          <w:szCs w:val="24"/>
        </w:rPr>
        <w:t xml:space="preserve"> D.C. O</w:t>
      </w:r>
      <w:r w:rsidR="0064503C">
        <w:rPr>
          <w:rFonts w:ascii="Times New Roman" w:hAnsi="Times New Roman" w:cs="Times New Roman"/>
          <w:sz w:val="24"/>
          <w:szCs w:val="24"/>
        </w:rPr>
        <w:t>fficial Code § 31-1801 et seq.</w:t>
      </w:r>
    </w:p>
    <w:p w:rsidR="001B3D9F" w:rsidRDefault="001B3D9F" w:rsidP="0064503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3D9F">
        <w:rPr>
          <w:rFonts w:ascii="Times New Roman" w:hAnsi="Times New Roman" w:cs="Times New Roman"/>
          <w:sz w:val="24"/>
          <w:szCs w:val="24"/>
        </w:rPr>
        <w:t xml:space="preserve">The Risk-Based Capital Act of 1996 </w:t>
      </w:r>
      <w:r w:rsidR="0064503C">
        <w:rPr>
          <w:rFonts w:ascii="Times New Roman" w:hAnsi="Times New Roman" w:cs="Times New Roman"/>
          <w:sz w:val="24"/>
          <w:szCs w:val="24"/>
        </w:rPr>
        <w:t>D.C. Official Code §</w:t>
      </w:r>
      <w:r w:rsidRPr="001B3D9F">
        <w:rPr>
          <w:rFonts w:ascii="Times New Roman" w:hAnsi="Times New Roman" w:cs="Times New Roman"/>
          <w:sz w:val="24"/>
          <w:szCs w:val="24"/>
        </w:rPr>
        <w:t xml:space="preserve"> 31-2001 et seq.  Note that </w:t>
      </w:r>
      <w:r w:rsidR="0064503C" w:rsidRPr="0064503C">
        <w:rPr>
          <w:rFonts w:ascii="Times New Roman" w:hAnsi="Times New Roman" w:cs="Times New Roman"/>
          <w:sz w:val="24"/>
          <w:szCs w:val="24"/>
        </w:rPr>
        <w:t>§§</w:t>
      </w:r>
      <w:r w:rsidRPr="001B3D9F">
        <w:rPr>
          <w:rFonts w:ascii="Times New Roman" w:hAnsi="Times New Roman" w:cs="Times New Roman"/>
          <w:sz w:val="24"/>
          <w:szCs w:val="24"/>
        </w:rPr>
        <w:t xml:space="preserve"> 31-2002(a</w:t>
      </w:r>
      <w:proofErr w:type="gramStart"/>
      <w:r w:rsidRPr="001B3D9F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1B3D9F">
        <w:rPr>
          <w:rFonts w:ascii="Times New Roman" w:hAnsi="Times New Roman" w:cs="Times New Roman"/>
          <w:sz w:val="24"/>
          <w:szCs w:val="24"/>
        </w:rPr>
        <w:t xml:space="preserve">2) and 31-2003(f) shall not apply to risk retention groups licensed </w:t>
      </w:r>
      <w:r w:rsidR="0064503C">
        <w:rPr>
          <w:rFonts w:ascii="Times New Roman" w:hAnsi="Times New Roman" w:cs="Times New Roman"/>
          <w:sz w:val="24"/>
          <w:szCs w:val="24"/>
        </w:rPr>
        <w:t>as</w:t>
      </w:r>
      <w:r w:rsidRPr="001B3D9F">
        <w:rPr>
          <w:rFonts w:ascii="Times New Roman" w:hAnsi="Times New Roman" w:cs="Times New Roman"/>
          <w:sz w:val="24"/>
          <w:szCs w:val="24"/>
        </w:rPr>
        <w:t xml:space="preserve"> captives.</w:t>
      </w:r>
    </w:p>
    <w:p w:rsidR="00167433" w:rsidRDefault="00167433" w:rsidP="00DD502C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</w:p>
    <w:p w:rsidR="003756DB" w:rsidRDefault="003756DB" w:rsidP="0016743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3756DB" w:rsidRDefault="003756DB" w:rsidP="0016743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F1516" w:rsidRDefault="00DD502C" w:rsidP="0016743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following </w:t>
      </w:r>
      <w:r w:rsidR="003756DB">
        <w:rPr>
          <w:rFonts w:ascii="Times New Roman" w:hAnsi="Times New Roman" w:cs="Times New Roman"/>
          <w:sz w:val="24"/>
          <w:szCs w:val="24"/>
        </w:rPr>
        <w:t xml:space="preserve">new </w:t>
      </w:r>
      <w:r>
        <w:rPr>
          <w:rFonts w:ascii="Times New Roman" w:hAnsi="Times New Roman" w:cs="Times New Roman"/>
          <w:sz w:val="24"/>
          <w:szCs w:val="24"/>
        </w:rPr>
        <w:t xml:space="preserve">insurance regulations shall be applicable to </w:t>
      </w:r>
      <w:r w:rsidR="00D1635E">
        <w:rPr>
          <w:rFonts w:ascii="Times New Roman" w:hAnsi="Times New Roman" w:cs="Times New Roman"/>
          <w:sz w:val="24"/>
          <w:szCs w:val="24"/>
        </w:rPr>
        <w:t xml:space="preserve">all domestic </w:t>
      </w:r>
      <w:r w:rsidRPr="00DD502C">
        <w:rPr>
          <w:rFonts w:ascii="Times New Roman" w:hAnsi="Times New Roman" w:cs="Times New Roman"/>
          <w:sz w:val="24"/>
          <w:szCs w:val="24"/>
        </w:rPr>
        <w:t>risk retent</w:t>
      </w:r>
      <w:r>
        <w:rPr>
          <w:rFonts w:ascii="Times New Roman" w:hAnsi="Times New Roman" w:cs="Times New Roman"/>
          <w:sz w:val="24"/>
          <w:szCs w:val="24"/>
        </w:rPr>
        <w:t>ion groups licensed as captives:</w:t>
      </w:r>
    </w:p>
    <w:p w:rsidR="00260C4C" w:rsidRDefault="00260C4C" w:rsidP="007F15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3833" w:rsidRPr="00713833" w:rsidRDefault="00713833" w:rsidP="007138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3833">
        <w:rPr>
          <w:rFonts w:ascii="Times New Roman" w:hAnsi="Times New Roman" w:cs="Times New Roman"/>
          <w:sz w:val="24"/>
          <w:szCs w:val="24"/>
        </w:rPr>
        <w:t>Accounting Practices and Procedures Regulations</w:t>
      </w:r>
    </w:p>
    <w:p w:rsidR="00713833" w:rsidRPr="00713833" w:rsidRDefault="00713833" w:rsidP="007138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3833">
        <w:rPr>
          <w:rFonts w:ascii="Times New Roman" w:hAnsi="Times New Roman" w:cs="Times New Roman"/>
          <w:sz w:val="24"/>
          <w:szCs w:val="24"/>
        </w:rPr>
        <w:t>Valuation of Investments Regulations</w:t>
      </w:r>
    </w:p>
    <w:p w:rsidR="00713833" w:rsidRPr="00713833" w:rsidRDefault="00713833" w:rsidP="007138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3833">
        <w:rPr>
          <w:rFonts w:ascii="Times New Roman" w:hAnsi="Times New Roman" w:cs="Times New Roman"/>
          <w:sz w:val="24"/>
          <w:szCs w:val="24"/>
        </w:rPr>
        <w:t>Holding Company Systems Regulations</w:t>
      </w:r>
    </w:p>
    <w:p w:rsidR="00713833" w:rsidRPr="00713833" w:rsidRDefault="00713833" w:rsidP="007138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3833">
        <w:rPr>
          <w:rFonts w:ascii="Times New Roman" w:hAnsi="Times New Roman" w:cs="Times New Roman"/>
          <w:sz w:val="24"/>
          <w:szCs w:val="24"/>
        </w:rPr>
        <w:t>Risk Limitations Regulations</w:t>
      </w:r>
    </w:p>
    <w:p w:rsidR="00713833" w:rsidRDefault="00713833" w:rsidP="007138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3833">
        <w:rPr>
          <w:rFonts w:ascii="Times New Roman" w:hAnsi="Times New Roman" w:cs="Times New Roman"/>
          <w:sz w:val="24"/>
          <w:szCs w:val="24"/>
        </w:rPr>
        <w:t>Reinsurance Ceded Regulations</w:t>
      </w:r>
    </w:p>
    <w:p w:rsidR="00713833" w:rsidRDefault="00713833" w:rsidP="007138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Filing with NAIC Regulations</w:t>
      </w:r>
    </w:p>
    <w:p w:rsidR="00167433" w:rsidRDefault="00167433" w:rsidP="007F15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503C" w:rsidRDefault="0064503C" w:rsidP="007F15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Law/Regulation</w:t>
      </w:r>
      <w:r>
        <w:rPr>
          <w:rFonts w:ascii="Times New Roman" w:hAnsi="Times New Roman" w:cs="Times New Roman"/>
          <w:sz w:val="24"/>
          <w:szCs w:val="24"/>
        </w:rPr>
        <w:tab/>
      </w:r>
      <w:r w:rsidR="00566745">
        <w:rPr>
          <w:rFonts w:ascii="Times New Roman" w:hAnsi="Times New Roman" w:cs="Times New Roman"/>
          <w:sz w:val="24"/>
          <w:szCs w:val="24"/>
        </w:rPr>
        <w:tab/>
      </w:r>
      <w:r w:rsidR="005667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Applicability 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Comments</w:t>
      </w:r>
    </w:p>
    <w:p w:rsidR="00566745" w:rsidRPr="007F1516" w:rsidRDefault="0064503C" w:rsidP="007F15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036"/>
        <w:gridCol w:w="3192"/>
      </w:tblGrid>
      <w:tr w:rsidR="00566745" w:rsidTr="00566745">
        <w:tc>
          <w:tcPr>
            <w:tcW w:w="3348" w:type="dxa"/>
          </w:tcPr>
          <w:p w:rsidR="00566745" w:rsidRDefault="00566745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6745">
              <w:rPr>
                <w:rFonts w:ascii="Times New Roman" w:hAnsi="Times New Roman" w:cs="Times New Roman"/>
                <w:sz w:val="24"/>
                <w:szCs w:val="24"/>
              </w:rPr>
              <w:t>Risk Limitation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Fire and Casualty Act</w:t>
            </w:r>
          </w:p>
        </w:tc>
        <w:tc>
          <w:tcPr>
            <w:tcW w:w="3036" w:type="dxa"/>
          </w:tcPr>
          <w:p w:rsidR="00566745" w:rsidRDefault="001E607A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607A">
              <w:rPr>
                <w:rFonts w:ascii="Times New Roman" w:hAnsi="Times New Roman" w:cs="Times New Roman"/>
                <w:sz w:val="24"/>
                <w:szCs w:val="24"/>
              </w:rPr>
              <w:t>March 14, 2012</w:t>
            </w:r>
          </w:p>
        </w:tc>
        <w:tc>
          <w:tcPr>
            <w:tcW w:w="3192" w:type="dxa"/>
          </w:tcPr>
          <w:p w:rsidR="00566745" w:rsidRDefault="006654F5" w:rsidP="001E60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Establishes a new </w:t>
            </w:r>
            <w:r w:rsidR="00311902">
              <w:rPr>
                <w:rFonts w:ascii="Times New Roman" w:hAnsi="Times New Roman" w:cs="Times New Roman"/>
                <w:sz w:val="24"/>
                <w:szCs w:val="24"/>
              </w:rPr>
              <w:t>Ten Percent Rule</w:t>
            </w:r>
            <w:r w:rsidR="00042446">
              <w:rPr>
                <w:rFonts w:ascii="Times New Roman" w:hAnsi="Times New Roman" w:cs="Times New Roman"/>
                <w:sz w:val="24"/>
                <w:szCs w:val="24"/>
              </w:rPr>
              <w:t xml:space="preserve">. See exception in </w:t>
            </w:r>
            <w:r w:rsidR="001839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42446">
              <w:rPr>
                <w:rFonts w:ascii="Times New Roman" w:hAnsi="Times New Roman" w:cs="Times New Roman"/>
                <w:sz w:val="24"/>
                <w:szCs w:val="24"/>
              </w:rPr>
              <w:t>Risk Limitation Regulation § 3774.</w:t>
            </w:r>
          </w:p>
        </w:tc>
      </w:tr>
      <w:tr w:rsidR="00566745" w:rsidTr="00566745">
        <w:tc>
          <w:tcPr>
            <w:tcW w:w="3348" w:type="dxa"/>
          </w:tcPr>
          <w:p w:rsidR="00566745" w:rsidRDefault="00566745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6745">
              <w:rPr>
                <w:rFonts w:ascii="Times New Roman" w:hAnsi="Times New Roman" w:cs="Times New Roman"/>
                <w:sz w:val="24"/>
                <w:szCs w:val="24"/>
              </w:rPr>
              <w:t>Investments of Insurers Act</w:t>
            </w:r>
          </w:p>
        </w:tc>
        <w:tc>
          <w:tcPr>
            <w:tcW w:w="3036" w:type="dxa"/>
          </w:tcPr>
          <w:p w:rsidR="00566745" w:rsidRDefault="001E607A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607A">
              <w:rPr>
                <w:rFonts w:ascii="Times New Roman" w:hAnsi="Times New Roman" w:cs="Times New Roman"/>
                <w:sz w:val="24"/>
                <w:szCs w:val="24"/>
              </w:rPr>
              <w:t>March 14, 2012</w:t>
            </w:r>
          </w:p>
        </w:tc>
        <w:tc>
          <w:tcPr>
            <w:tcW w:w="3192" w:type="dxa"/>
          </w:tcPr>
          <w:p w:rsidR="00566745" w:rsidRDefault="00454EFD" w:rsidP="00454E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4EFD">
              <w:rPr>
                <w:rFonts w:ascii="Times New Roman" w:hAnsi="Times New Roman" w:cs="Times New Roman"/>
                <w:sz w:val="24"/>
                <w:szCs w:val="24"/>
              </w:rPr>
              <w:t xml:space="preserve">Each RRG is required to review its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investments a</w:t>
            </w:r>
            <w:r w:rsidRPr="00454EFD">
              <w:rPr>
                <w:rFonts w:ascii="Times New Roman" w:hAnsi="Times New Roman" w:cs="Times New Roman"/>
                <w:sz w:val="24"/>
                <w:szCs w:val="24"/>
              </w:rPr>
              <w:t xml:space="preserve">nd submit a written report to DISB on its compliance with the new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investment law and</w:t>
            </w:r>
            <w:r w:rsidRPr="0045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EFD">
              <w:rPr>
                <w:rFonts w:ascii="Times New Roman" w:hAnsi="Times New Roman" w:cs="Times New Roman"/>
                <w:sz w:val="24"/>
                <w:szCs w:val="24"/>
              </w:rPr>
              <w:t>regs</w:t>
            </w:r>
            <w:proofErr w:type="spellEnd"/>
            <w:r w:rsidRPr="00454EFD">
              <w:rPr>
                <w:rFonts w:ascii="Times New Roman" w:hAnsi="Times New Roman" w:cs="Times New Roman"/>
                <w:sz w:val="24"/>
                <w:szCs w:val="24"/>
              </w:rPr>
              <w:t>. The report is due on December 31, 2012.</w:t>
            </w:r>
          </w:p>
        </w:tc>
      </w:tr>
      <w:tr w:rsidR="00566745" w:rsidTr="00566745">
        <w:tc>
          <w:tcPr>
            <w:tcW w:w="3348" w:type="dxa"/>
          </w:tcPr>
          <w:p w:rsidR="00566745" w:rsidRDefault="00566745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6745">
              <w:rPr>
                <w:rFonts w:ascii="Times New Roman" w:hAnsi="Times New Roman" w:cs="Times New Roman"/>
                <w:sz w:val="24"/>
                <w:szCs w:val="24"/>
              </w:rPr>
              <w:t>Annual Audited Financial Reports Act of 1993</w:t>
            </w:r>
          </w:p>
        </w:tc>
        <w:tc>
          <w:tcPr>
            <w:tcW w:w="3036" w:type="dxa"/>
          </w:tcPr>
          <w:p w:rsidR="00566745" w:rsidRDefault="00167433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14, 2012</w:t>
            </w:r>
          </w:p>
        </w:tc>
        <w:tc>
          <w:tcPr>
            <w:tcW w:w="3192" w:type="dxa"/>
          </w:tcPr>
          <w:p w:rsidR="001839E6" w:rsidRDefault="001839E6" w:rsidP="00425F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Every RRG shall establish an audit committee.  If an audit committee is not established, the entire board of directors shall constitute the audit committee.</w:t>
            </w:r>
          </w:p>
          <w:p w:rsidR="001839E6" w:rsidRDefault="001839E6" w:rsidP="00425F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F11" w:rsidRPr="00193F11" w:rsidRDefault="00193F11" w:rsidP="00425F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93F11">
              <w:rPr>
                <w:rFonts w:ascii="Times New Roman" w:hAnsi="Times New Roman" w:cs="Times New Roman"/>
                <w:sz w:val="24"/>
                <w:szCs w:val="24"/>
              </w:rPr>
              <w:t>he small insurer exemption found in § 31-314(a) shall not apply to risk retention groups licensed as captives.</w:t>
            </w:r>
          </w:p>
          <w:p w:rsidR="00193F11" w:rsidRPr="00193F11" w:rsidRDefault="00193F11" w:rsidP="00425F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45" w:rsidRPr="00425F4C" w:rsidRDefault="00260C4C" w:rsidP="00425F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3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Important New Date:</w:t>
            </w:r>
            <w:r w:rsidRPr="00193F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7433" w:rsidRPr="00193F11">
              <w:rPr>
                <w:rFonts w:ascii="Times New Roman" w:hAnsi="Times New Roman" w:cs="Times New Roman"/>
                <w:sz w:val="24"/>
                <w:szCs w:val="24"/>
              </w:rPr>
              <w:t xml:space="preserve">2012 audited financials </w:t>
            </w:r>
            <w:r w:rsidR="00425F4C" w:rsidRPr="00193F11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="00167433" w:rsidRPr="00193F11">
              <w:rPr>
                <w:rFonts w:ascii="Times New Roman" w:hAnsi="Times New Roman" w:cs="Times New Roman"/>
                <w:sz w:val="24"/>
                <w:szCs w:val="24"/>
              </w:rPr>
              <w:t>due on June 1, 2013</w:t>
            </w:r>
          </w:p>
        </w:tc>
      </w:tr>
      <w:tr w:rsidR="00566745" w:rsidTr="00566745">
        <w:tc>
          <w:tcPr>
            <w:tcW w:w="3348" w:type="dxa"/>
          </w:tcPr>
          <w:p w:rsidR="00566745" w:rsidRDefault="00566745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6745">
              <w:rPr>
                <w:rFonts w:ascii="Times New Roman" w:hAnsi="Times New Roman" w:cs="Times New Roman"/>
                <w:sz w:val="24"/>
                <w:szCs w:val="24"/>
              </w:rPr>
              <w:t>Property and Casualty Actuarial Opinion Amendment Act</w:t>
            </w:r>
          </w:p>
        </w:tc>
        <w:tc>
          <w:tcPr>
            <w:tcW w:w="3036" w:type="dxa"/>
          </w:tcPr>
          <w:p w:rsidR="00566745" w:rsidRDefault="001E607A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607A">
              <w:rPr>
                <w:rFonts w:ascii="Times New Roman" w:hAnsi="Times New Roman" w:cs="Times New Roman"/>
                <w:sz w:val="24"/>
                <w:szCs w:val="24"/>
              </w:rPr>
              <w:t>March 14, 2012</w:t>
            </w:r>
          </w:p>
        </w:tc>
        <w:tc>
          <w:tcPr>
            <w:tcW w:w="3192" w:type="dxa"/>
          </w:tcPr>
          <w:p w:rsidR="00566745" w:rsidRPr="00193F11" w:rsidRDefault="00425F4C" w:rsidP="00725C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3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Important New Date:</w:t>
            </w:r>
            <w:r w:rsidRPr="00193F11">
              <w:rPr>
                <w:rFonts w:ascii="Times New Roman" w:hAnsi="Times New Roman" w:cs="Times New Roman"/>
                <w:sz w:val="24"/>
                <w:szCs w:val="24"/>
              </w:rPr>
              <w:t xml:space="preserve">  2012 </w:t>
            </w:r>
            <w:r w:rsidR="00725CF6">
              <w:rPr>
                <w:rFonts w:ascii="Times New Roman" w:hAnsi="Times New Roman" w:cs="Times New Roman"/>
                <w:sz w:val="24"/>
                <w:szCs w:val="24"/>
              </w:rPr>
              <w:t>actuarial opinion shall be filed with the Annual Statement on March 2</w:t>
            </w:r>
            <w:r w:rsidRPr="00193F11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</w:tr>
      <w:tr w:rsidR="00566745" w:rsidTr="003704BB">
        <w:trPr>
          <w:trHeight w:val="647"/>
        </w:trPr>
        <w:tc>
          <w:tcPr>
            <w:tcW w:w="3348" w:type="dxa"/>
          </w:tcPr>
          <w:p w:rsidR="00566745" w:rsidRDefault="00566745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6745">
              <w:rPr>
                <w:rFonts w:ascii="Times New Roman" w:hAnsi="Times New Roman" w:cs="Times New Roman"/>
                <w:sz w:val="24"/>
                <w:szCs w:val="24"/>
              </w:rPr>
              <w:t>Business Transacted with Producer Controlled Insurer Act</w:t>
            </w:r>
          </w:p>
        </w:tc>
        <w:tc>
          <w:tcPr>
            <w:tcW w:w="3036" w:type="dxa"/>
          </w:tcPr>
          <w:p w:rsidR="00566745" w:rsidRDefault="001E607A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607A">
              <w:rPr>
                <w:rFonts w:ascii="Times New Roman" w:hAnsi="Times New Roman" w:cs="Times New Roman"/>
                <w:sz w:val="24"/>
                <w:szCs w:val="24"/>
              </w:rPr>
              <w:t>March 14, 2012</w:t>
            </w:r>
          </w:p>
        </w:tc>
        <w:tc>
          <w:tcPr>
            <w:tcW w:w="3192" w:type="dxa"/>
          </w:tcPr>
          <w:p w:rsidR="00566745" w:rsidRDefault="005F430B" w:rsidP="006431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 mandatory contract provisions. </w:t>
            </w:r>
            <w:r w:rsidR="0064318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exemption for RRGs in definition of “insurer” has been deleted.</w:t>
            </w:r>
          </w:p>
        </w:tc>
      </w:tr>
      <w:tr w:rsidR="00566745" w:rsidTr="00566745">
        <w:tc>
          <w:tcPr>
            <w:tcW w:w="3348" w:type="dxa"/>
          </w:tcPr>
          <w:p w:rsidR="00566745" w:rsidRDefault="00566745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6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Holding Company System Act of 1993</w:t>
            </w:r>
          </w:p>
        </w:tc>
        <w:tc>
          <w:tcPr>
            <w:tcW w:w="3036" w:type="dxa"/>
          </w:tcPr>
          <w:p w:rsidR="00566745" w:rsidRDefault="001E607A" w:rsidP="00D560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607A">
              <w:rPr>
                <w:rFonts w:ascii="Times New Roman" w:hAnsi="Times New Roman" w:cs="Times New Roman"/>
                <w:sz w:val="24"/>
                <w:szCs w:val="24"/>
              </w:rPr>
              <w:t>March 14,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except F</w:t>
            </w:r>
            <w:r w:rsidR="003704BB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130463">
              <w:rPr>
                <w:rFonts w:ascii="Times New Roman" w:hAnsi="Times New Roman" w:cs="Times New Roman"/>
                <w:sz w:val="24"/>
                <w:szCs w:val="24"/>
              </w:rPr>
              <w:t xml:space="preserve">ms B and C, which </w:t>
            </w:r>
            <w:r w:rsidR="00D56074">
              <w:rPr>
                <w:rFonts w:ascii="Times New Roman" w:hAnsi="Times New Roman" w:cs="Times New Roman"/>
                <w:sz w:val="24"/>
                <w:szCs w:val="24"/>
              </w:rPr>
              <w:t>are d</w:t>
            </w:r>
            <w:r w:rsidR="00130463">
              <w:rPr>
                <w:rFonts w:ascii="Times New Roman" w:hAnsi="Times New Roman" w:cs="Times New Roman"/>
                <w:sz w:val="24"/>
                <w:szCs w:val="24"/>
              </w:rPr>
              <w:t>ue on April 30,</w:t>
            </w:r>
            <w:r w:rsidR="00370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704B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0F5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92" w:type="dxa"/>
          </w:tcPr>
          <w:p w:rsidR="00566745" w:rsidRDefault="005F430B" w:rsidP="005F43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D85B20">
              <w:rPr>
                <w:rFonts w:ascii="Times New Roman" w:hAnsi="Times New Roman" w:cs="Times New Roman"/>
                <w:sz w:val="24"/>
                <w:szCs w:val="24"/>
              </w:rPr>
              <w:t>RRG in an arrangement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5B20">
              <w:rPr>
                <w:rFonts w:ascii="Times New Roman" w:hAnsi="Times New Roman" w:cs="Times New Roman"/>
                <w:sz w:val="24"/>
                <w:szCs w:val="24"/>
              </w:rPr>
              <w:t xml:space="preserve"> which consists of 2 or more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85B20">
              <w:rPr>
                <w:rFonts w:ascii="Times New Roman" w:hAnsi="Times New Roman" w:cs="Times New Roman"/>
                <w:sz w:val="24"/>
                <w:szCs w:val="24"/>
              </w:rPr>
              <w:t>affiliated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85B20">
              <w:rPr>
                <w:rFonts w:ascii="Times New Roman" w:hAnsi="Times New Roman" w:cs="Times New Roman"/>
                <w:sz w:val="24"/>
                <w:szCs w:val="24"/>
              </w:rPr>
              <w:t xml:space="preserve"> persons, one or more of whom is an insurer, will presumed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be in a holding company system.</w:t>
            </w:r>
            <w:r w:rsidR="00725CF6">
              <w:rPr>
                <w:rFonts w:ascii="Times New Roman" w:hAnsi="Times New Roman" w:cs="Times New Roman"/>
                <w:sz w:val="24"/>
                <w:szCs w:val="24"/>
              </w:rPr>
              <w:t xml:space="preserve">  A RRG is an “insurer” for purposes of the HCA.</w:t>
            </w:r>
          </w:p>
        </w:tc>
      </w:tr>
      <w:tr w:rsidR="00566745" w:rsidTr="00566745">
        <w:tc>
          <w:tcPr>
            <w:tcW w:w="3348" w:type="dxa"/>
          </w:tcPr>
          <w:p w:rsidR="00566745" w:rsidRDefault="00566745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6745">
              <w:rPr>
                <w:rFonts w:ascii="Times New Roman" w:hAnsi="Times New Roman" w:cs="Times New Roman"/>
                <w:sz w:val="24"/>
                <w:szCs w:val="24"/>
              </w:rPr>
              <w:t>Managing General Agents Act</w:t>
            </w:r>
          </w:p>
        </w:tc>
        <w:tc>
          <w:tcPr>
            <w:tcW w:w="3036" w:type="dxa"/>
          </w:tcPr>
          <w:p w:rsidR="00566745" w:rsidRDefault="00130463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3">
              <w:rPr>
                <w:rFonts w:ascii="Times New Roman" w:hAnsi="Times New Roman" w:cs="Times New Roman"/>
                <w:sz w:val="24"/>
                <w:szCs w:val="24"/>
              </w:rPr>
              <w:t>March 14, 2012</w:t>
            </w:r>
          </w:p>
        </w:tc>
        <w:tc>
          <w:tcPr>
            <w:tcW w:w="3192" w:type="dxa"/>
          </w:tcPr>
          <w:p w:rsidR="00566745" w:rsidRDefault="0036337A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 licensing and mandatory contract provisions.</w:t>
            </w:r>
          </w:p>
        </w:tc>
      </w:tr>
      <w:tr w:rsidR="00566745" w:rsidTr="00566745">
        <w:tc>
          <w:tcPr>
            <w:tcW w:w="3348" w:type="dxa"/>
          </w:tcPr>
          <w:p w:rsidR="00566745" w:rsidRDefault="00566745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6745">
              <w:rPr>
                <w:rFonts w:ascii="Times New Roman" w:hAnsi="Times New Roman" w:cs="Times New Roman"/>
                <w:sz w:val="24"/>
                <w:szCs w:val="24"/>
              </w:rPr>
              <w:t>Reinsurance Intermediary Act of 1993</w:t>
            </w:r>
          </w:p>
        </w:tc>
        <w:tc>
          <w:tcPr>
            <w:tcW w:w="3036" w:type="dxa"/>
          </w:tcPr>
          <w:p w:rsidR="00566745" w:rsidRDefault="00130463" w:rsidP="001304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3">
              <w:rPr>
                <w:rFonts w:ascii="Times New Roman" w:hAnsi="Times New Roman" w:cs="Times New Roman"/>
                <w:sz w:val="24"/>
                <w:szCs w:val="24"/>
              </w:rPr>
              <w:t>March 14, 2012</w:t>
            </w:r>
          </w:p>
        </w:tc>
        <w:tc>
          <w:tcPr>
            <w:tcW w:w="3192" w:type="dxa"/>
          </w:tcPr>
          <w:p w:rsidR="00566745" w:rsidRDefault="0036337A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337A">
              <w:rPr>
                <w:rFonts w:ascii="Times New Roman" w:hAnsi="Times New Roman" w:cs="Times New Roman"/>
                <w:sz w:val="24"/>
                <w:szCs w:val="24"/>
              </w:rPr>
              <w:t>See licensing and mandatory contract provisions.</w:t>
            </w:r>
            <w:r w:rsidR="005156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5631" w:rsidRPr="00515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the reinsurance broker is located outside of the US and the </w:t>
            </w:r>
            <w:r w:rsidR="00515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terms of the </w:t>
            </w:r>
            <w:r w:rsidR="00515631" w:rsidRPr="00515631">
              <w:rPr>
                <w:rFonts w:ascii="Times New Roman" w:hAnsi="Times New Roman" w:cs="Times New Roman"/>
                <w:b/>
                <w:sz w:val="24"/>
                <w:szCs w:val="24"/>
              </w:rPr>
              <w:t>reinsurance is negotiated outside of the US, the broker is not required to be licensed in the District.</w:t>
            </w:r>
          </w:p>
        </w:tc>
      </w:tr>
      <w:tr w:rsidR="00566745" w:rsidTr="00566745">
        <w:tc>
          <w:tcPr>
            <w:tcW w:w="3348" w:type="dxa"/>
          </w:tcPr>
          <w:p w:rsidR="00566745" w:rsidRDefault="00566745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6745">
              <w:rPr>
                <w:rFonts w:ascii="Times New Roman" w:hAnsi="Times New Roman" w:cs="Times New Roman"/>
                <w:sz w:val="24"/>
                <w:szCs w:val="24"/>
              </w:rPr>
              <w:t>Risk-Based Capital Act of 1996</w:t>
            </w:r>
          </w:p>
        </w:tc>
        <w:tc>
          <w:tcPr>
            <w:tcW w:w="3036" w:type="dxa"/>
          </w:tcPr>
          <w:p w:rsidR="00566745" w:rsidRDefault="00042446" w:rsidP="00AD16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Regulatory Actions </w:t>
            </w:r>
            <w:r w:rsidR="00AD165E">
              <w:rPr>
                <w:rFonts w:ascii="Times New Roman" w:hAnsi="Times New Roman" w:cs="Times New Roman"/>
                <w:sz w:val="24"/>
                <w:szCs w:val="24"/>
              </w:rPr>
              <w:t>effective March 14, 2012.  RBC Reports to be filed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 w:rsidR="00D03D91">
              <w:rPr>
                <w:rFonts w:ascii="Times New Roman" w:hAnsi="Times New Roman" w:cs="Times New Roman"/>
                <w:sz w:val="24"/>
                <w:szCs w:val="24"/>
              </w:rPr>
              <w:t>2012 Annual Statement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March 2, 2013.</w:t>
            </w:r>
          </w:p>
        </w:tc>
        <w:tc>
          <w:tcPr>
            <w:tcW w:w="3192" w:type="dxa"/>
          </w:tcPr>
          <w:p w:rsidR="00566745" w:rsidRDefault="00193F11" w:rsidP="00193F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Sections </w:t>
            </w:r>
            <w:r w:rsidRPr="00193F11">
              <w:rPr>
                <w:rFonts w:ascii="Times New Roman" w:hAnsi="Times New Roman" w:cs="Times New Roman"/>
                <w:sz w:val="24"/>
                <w:szCs w:val="24"/>
              </w:rPr>
              <w:t>31-2002(a</w:t>
            </w:r>
            <w:proofErr w:type="gramStart"/>
            <w:r w:rsidRPr="00193F11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193F11">
              <w:rPr>
                <w:rFonts w:ascii="Times New Roman" w:hAnsi="Times New Roman" w:cs="Times New Roman"/>
                <w:sz w:val="24"/>
                <w:szCs w:val="24"/>
              </w:rPr>
              <w:t>2) and 31-2003(f) shall not apply to risk retention groups licensed as captives.</w:t>
            </w:r>
          </w:p>
        </w:tc>
      </w:tr>
      <w:tr w:rsidR="00566745" w:rsidTr="00566745">
        <w:tc>
          <w:tcPr>
            <w:tcW w:w="3348" w:type="dxa"/>
          </w:tcPr>
          <w:p w:rsidR="00566745" w:rsidRDefault="00566745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Accounting Practices and Procedures</w:t>
            </w:r>
            <w:r w:rsidR="00713833">
              <w:rPr>
                <w:rFonts w:ascii="Times New Roman" w:hAnsi="Times New Roman" w:cs="Times New Roman"/>
                <w:sz w:val="24"/>
                <w:szCs w:val="24"/>
              </w:rPr>
              <w:t xml:space="preserve"> Regulations</w:t>
            </w:r>
          </w:p>
        </w:tc>
        <w:tc>
          <w:tcPr>
            <w:tcW w:w="3036" w:type="dxa"/>
          </w:tcPr>
          <w:p w:rsidR="00566745" w:rsidRDefault="00AD165E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E">
              <w:rPr>
                <w:rFonts w:ascii="Times New Roman" w:hAnsi="Times New Roman" w:cs="Times New Roman"/>
                <w:sz w:val="24"/>
                <w:szCs w:val="24"/>
              </w:rPr>
              <w:t>March 14, 2012</w:t>
            </w:r>
          </w:p>
        </w:tc>
        <w:tc>
          <w:tcPr>
            <w:tcW w:w="3192" w:type="dxa"/>
          </w:tcPr>
          <w:p w:rsidR="00566745" w:rsidRDefault="005E59AD" w:rsidP="004E3F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3772</w:t>
            </w:r>
            <w:r w:rsidR="00132A87">
              <w:rPr>
                <w:rFonts w:ascii="Times New Roman" w:hAnsi="Times New Roman" w:cs="Times New Roman"/>
                <w:sz w:val="24"/>
                <w:szCs w:val="24"/>
              </w:rPr>
              <w:t xml:space="preserve">.  Requires Financial Statements to be prepared in accordance with the NAIC </w:t>
            </w:r>
            <w:r w:rsidR="004E3F97">
              <w:rPr>
                <w:rFonts w:ascii="Times New Roman" w:hAnsi="Times New Roman" w:cs="Times New Roman"/>
                <w:sz w:val="24"/>
                <w:szCs w:val="24"/>
              </w:rPr>
              <w:t>annual and quarterly statement instructions</w:t>
            </w:r>
            <w:r w:rsidR="00132A87">
              <w:rPr>
                <w:rFonts w:ascii="Times New Roman" w:hAnsi="Times New Roman" w:cs="Times New Roman"/>
                <w:sz w:val="24"/>
                <w:szCs w:val="24"/>
              </w:rPr>
              <w:t>. No changes.</w:t>
            </w:r>
          </w:p>
        </w:tc>
      </w:tr>
      <w:tr w:rsidR="00566745" w:rsidTr="00566745">
        <w:tc>
          <w:tcPr>
            <w:tcW w:w="3348" w:type="dxa"/>
          </w:tcPr>
          <w:p w:rsidR="00566745" w:rsidRDefault="00566745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Valuation of Investments Regulations</w:t>
            </w:r>
          </w:p>
        </w:tc>
        <w:tc>
          <w:tcPr>
            <w:tcW w:w="3036" w:type="dxa"/>
          </w:tcPr>
          <w:p w:rsidR="00566745" w:rsidRDefault="00AD165E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Final Rulemaking TBD</w:t>
            </w:r>
          </w:p>
        </w:tc>
        <w:tc>
          <w:tcPr>
            <w:tcW w:w="3192" w:type="dxa"/>
          </w:tcPr>
          <w:p w:rsidR="00566745" w:rsidRDefault="005E59AD" w:rsidP="005E5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3768, 3769 and 3770</w:t>
            </w:r>
          </w:p>
        </w:tc>
      </w:tr>
      <w:tr w:rsidR="00566745" w:rsidTr="00566745">
        <w:tc>
          <w:tcPr>
            <w:tcW w:w="3348" w:type="dxa"/>
          </w:tcPr>
          <w:p w:rsidR="00566745" w:rsidRDefault="00566745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Holding Company Systems Regulations</w:t>
            </w:r>
          </w:p>
        </w:tc>
        <w:tc>
          <w:tcPr>
            <w:tcW w:w="3036" w:type="dxa"/>
          </w:tcPr>
          <w:p w:rsidR="00566745" w:rsidRDefault="00AD165E" w:rsidP="00AD16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E">
              <w:rPr>
                <w:rFonts w:ascii="Times New Roman" w:hAnsi="Times New Roman" w:cs="Times New Roman"/>
                <w:sz w:val="24"/>
                <w:szCs w:val="24"/>
              </w:rPr>
              <w:t>Date of Final Rulemaking TBD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04BB">
              <w:t xml:space="preserve"> </w:t>
            </w:r>
            <w:r w:rsidR="003704BB" w:rsidRPr="003704BB">
              <w:rPr>
                <w:rFonts w:ascii="Times New Roman" w:hAnsi="Times New Roman" w:cs="Times New Roman"/>
                <w:sz w:val="24"/>
                <w:szCs w:val="24"/>
              </w:rPr>
              <w:t xml:space="preserve">except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3704BB" w:rsidRPr="003704BB">
              <w:rPr>
                <w:rFonts w:ascii="Times New Roman" w:hAnsi="Times New Roman" w:cs="Times New Roman"/>
                <w:sz w:val="24"/>
                <w:szCs w:val="24"/>
              </w:rPr>
              <w:t>orms B and C, which will be due in 2013</w:t>
            </w:r>
            <w:r w:rsidR="000F5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2" w:type="dxa"/>
          </w:tcPr>
          <w:p w:rsidR="00566745" w:rsidRDefault="005E59AD" w:rsidP="000E46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Sections 3751, 3752, 3753, 3754, 3755, 3756, 3757, 3758, 3759, 3760, 3762, 3763</w:t>
            </w:r>
            <w:r w:rsidR="001E607A">
              <w:rPr>
                <w:rFonts w:ascii="Times New Roman" w:hAnsi="Times New Roman" w:cs="Times New Roman"/>
                <w:sz w:val="24"/>
                <w:szCs w:val="24"/>
              </w:rPr>
              <w:t>, 3764, 3765, and 3766</w:t>
            </w:r>
            <w:r w:rsidR="00E438F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566745" w:rsidTr="00566745">
        <w:tc>
          <w:tcPr>
            <w:tcW w:w="3348" w:type="dxa"/>
          </w:tcPr>
          <w:p w:rsidR="00566745" w:rsidRDefault="00566745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Limitations Regulations</w:t>
            </w:r>
          </w:p>
        </w:tc>
        <w:tc>
          <w:tcPr>
            <w:tcW w:w="3036" w:type="dxa"/>
          </w:tcPr>
          <w:p w:rsidR="00566745" w:rsidRDefault="00AD165E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E">
              <w:rPr>
                <w:rFonts w:ascii="Times New Roman" w:hAnsi="Times New Roman" w:cs="Times New Roman"/>
                <w:sz w:val="24"/>
                <w:szCs w:val="24"/>
              </w:rPr>
              <w:t>Date of Final Rulemaking TBD</w:t>
            </w:r>
          </w:p>
        </w:tc>
        <w:tc>
          <w:tcPr>
            <w:tcW w:w="3192" w:type="dxa"/>
          </w:tcPr>
          <w:p w:rsidR="00566745" w:rsidRDefault="005E59AD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3774</w:t>
            </w:r>
          </w:p>
        </w:tc>
      </w:tr>
      <w:tr w:rsidR="00713833" w:rsidTr="00566745">
        <w:tc>
          <w:tcPr>
            <w:tcW w:w="3348" w:type="dxa"/>
          </w:tcPr>
          <w:p w:rsidR="00713833" w:rsidRDefault="00713833" w:rsidP="00D560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Reinsurance Ceded Regulations</w:t>
            </w:r>
          </w:p>
        </w:tc>
        <w:tc>
          <w:tcPr>
            <w:tcW w:w="3036" w:type="dxa"/>
          </w:tcPr>
          <w:p w:rsidR="00713833" w:rsidRDefault="00713833" w:rsidP="00D560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3833">
              <w:rPr>
                <w:rFonts w:ascii="Times New Roman" w:hAnsi="Times New Roman" w:cs="Times New Roman"/>
                <w:sz w:val="24"/>
                <w:szCs w:val="24"/>
              </w:rPr>
              <w:t>Date of Final Rulemaking TBD</w:t>
            </w:r>
          </w:p>
        </w:tc>
        <w:tc>
          <w:tcPr>
            <w:tcW w:w="3192" w:type="dxa"/>
          </w:tcPr>
          <w:p w:rsidR="00713833" w:rsidRPr="00CA3B39" w:rsidRDefault="00713833" w:rsidP="00D560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Section 3773.   </w:t>
            </w:r>
            <w:r w:rsidRPr="00CA3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Each RRG is required to review its reinsurance program and submit a written report </w:t>
            </w:r>
            <w:r w:rsidR="00425F4C" w:rsidRPr="00CA3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DISB </w:t>
            </w:r>
            <w:r w:rsidRPr="00CA3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its compliance with the new reinsurance </w:t>
            </w:r>
            <w:proofErr w:type="spellStart"/>
            <w:r w:rsidRPr="00CA3B39">
              <w:rPr>
                <w:rFonts w:ascii="Times New Roman" w:hAnsi="Times New Roman" w:cs="Times New Roman"/>
                <w:b/>
                <w:sz w:val="24"/>
                <w:szCs w:val="24"/>
              </w:rPr>
              <w:t>regs</w:t>
            </w:r>
            <w:proofErr w:type="spellEnd"/>
            <w:r w:rsidRPr="00CA3B39">
              <w:rPr>
                <w:rFonts w:ascii="Times New Roman" w:hAnsi="Times New Roman" w:cs="Times New Roman"/>
                <w:b/>
                <w:sz w:val="24"/>
                <w:szCs w:val="24"/>
              </w:rPr>
              <w:t>. The report is due on December 31, 2012.</w:t>
            </w:r>
          </w:p>
          <w:p w:rsidR="00713833" w:rsidRDefault="00713833" w:rsidP="00D560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833" w:rsidTr="00566745">
        <w:tc>
          <w:tcPr>
            <w:tcW w:w="3348" w:type="dxa"/>
          </w:tcPr>
          <w:p w:rsidR="00713833" w:rsidRDefault="00713833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Filing with NAIC Regulations</w:t>
            </w:r>
          </w:p>
        </w:tc>
        <w:tc>
          <w:tcPr>
            <w:tcW w:w="3036" w:type="dxa"/>
          </w:tcPr>
          <w:p w:rsidR="00713833" w:rsidRDefault="00713833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3833">
              <w:rPr>
                <w:rFonts w:ascii="Times New Roman" w:hAnsi="Times New Roman" w:cs="Times New Roman"/>
                <w:sz w:val="24"/>
                <w:szCs w:val="24"/>
              </w:rPr>
              <w:t>Date of Final Rulemaking TBD</w:t>
            </w:r>
          </w:p>
        </w:tc>
        <w:tc>
          <w:tcPr>
            <w:tcW w:w="3192" w:type="dxa"/>
          </w:tcPr>
          <w:p w:rsidR="00713833" w:rsidRDefault="00132A87" w:rsidP="00F761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2A87">
              <w:rPr>
                <w:rFonts w:ascii="Times New Roman" w:hAnsi="Times New Roman" w:cs="Times New Roman"/>
                <w:sz w:val="24"/>
                <w:szCs w:val="24"/>
              </w:rPr>
              <w:t>Section 3772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Requires electronic filing of </w:t>
            </w:r>
            <w:r w:rsidR="00F76144">
              <w:rPr>
                <w:rFonts w:ascii="Times New Roman" w:hAnsi="Times New Roman" w:cs="Times New Roman"/>
                <w:sz w:val="24"/>
                <w:szCs w:val="24"/>
              </w:rPr>
              <w:t>annual and quarterly financial statements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the NAIC. </w:t>
            </w:r>
            <w:r w:rsidR="00F76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833">
              <w:rPr>
                <w:rFonts w:ascii="Times New Roman" w:hAnsi="Times New Roman" w:cs="Times New Roman"/>
                <w:sz w:val="24"/>
                <w:szCs w:val="24"/>
              </w:rPr>
              <w:t xml:space="preserve">No changes. </w:t>
            </w:r>
          </w:p>
        </w:tc>
      </w:tr>
      <w:tr w:rsidR="00713833" w:rsidTr="00566745">
        <w:tc>
          <w:tcPr>
            <w:tcW w:w="3348" w:type="dxa"/>
          </w:tcPr>
          <w:p w:rsidR="00713833" w:rsidRDefault="00713833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713833" w:rsidRDefault="00713833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713833" w:rsidRDefault="00713833" w:rsidP="007F15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A87" w:rsidRDefault="00725CF6" w:rsidP="007F15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2A87" w:rsidRDefault="00132A87" w:rsidP="007F15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CF6" w:rsidRDefault="00725CF6" w:rsidP="00132A8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contact Dana Sheppard on (202) 442-7820 or by email: </w:t>
      </w:r>
      <w:hyperlink r:id="rId10" w:history="1">
        <w:r w:rsidRPr="00465976">
          <w:rPr>
            <w:rStyle w:val="Hyperlink"/>
            <w:rFonts w:ascii="Times New Roman" w:hAnsi="Times New Roman" w:cs="Times New Roman"/>
            <w:sz w:val="24"/>
            <w:szCs w:val="24"/>
          </w:rPr>
          <w:t>dana.sheppard@dc.gov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or Sean O’Donnell on (202) 442-8153 or by email: </w:t>
      </w:r>
      <w:hyperlink r:id="rId11" w:history="1">
        <w:r w:rsidRPr="00465976">
          <w:rPr>
            <w:rStyle w:val="Hyperlink"/>
            <w:rFonts w:ascii="Times New Roman" w:hAnsi="Times New Roman" w:cs="Times New Roman"/>
            <w:sz w:val="24"/>
            <w:szCs w:val="24"/>
          </w:rPr>
          <w:t>sean.odonnell@dc.gov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if you have questions about the Act or the proposed regulations.</w:t>
      </w:r>
    </w:p>
    <w:p w:rsidR="00725CF6" w:rsidRDefault="00725CF6" w:rsidP="007F15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25CF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F6" w:rsidRDefault="00725CF6" w:rsidP="00725CF6">
      <w:r>
        <w:separator/>
      </w:r>
    </w:p>
  </w:endnote>
  <w:endnote w:type="continuationSeparator" w:id="0">
    <w:p w:rsidR="00725CF6" w:rsidRDefault="00725CF6" w:rsidP="0072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umanst521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407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5CF6" w:rsidRDefault="00725C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3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5CF6" w:rsidRDefault="00725C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F6" w:rsidRDefault="00725CF6" w:rsidP="00725CF6">
      <w:r>
        <w:separator/>
      </w:r>
    </w:p>
  </w:footnote>
  <w:footnote w:type="continuationSeparator" w:id="0">
    <w:p w:rsidR="00725CF6" w:rsidRDefault="00725CF6" w:rsidP="00725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5B0C"/>
    <w:multiLevelType w:val="hybridMultilevel"/>
    <w:tmpl w:val="5DA2A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90BF6"/>
    <w:multiLevelType w:val="hybridMultilevel"/>
    <w:tmpl w:val="39C8F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D3B50"/>
    <w:multiLevelType w:val="hybridMultilevel"/>
    <w:tmpl w:val="3B3E2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16"/>
    <w:rsid w:val="0002148D"/>
    <w:rsid w:val="000260FA"/>
    <w:rsid w:val="0003637B"/>
    <w:rsid w:val="00042446"/>
    <w:rsid w:val="000437EC"/>
    <w:rsid w:val="00045CEC"/>
    <w:rsid w:val="00051192"/>
    <w:rsid w:val="00055D5F"/>
    <w:rsid w:val="0007544D"/>
    <w:rsid w:val="000834C9"/>
    <w:rsid w:val="000A32A1"/>
    <w:rsid w:val="000D4E35"/>
    <w:rsid w:val="000D5AFE"/>
    <w:rsid w:val="000D68A9"/>
    <w:rsid w:val="000E461F"/>
    <w:rsid w:val="000E46A2"/>
    <w:rsid w:val="000F5492"/>
    <w:rsid w:val="000F6172"/>
    <w:rsid w:val="00120680"/>
    <w:rsid w:val="00121D4D"/>
    <w:rsid w:val="00130463"/>
    <w:rsid w:val="00132A87"/>
    <w:rsid w:val="001338BC"/>
    <w:rsid w:val="00147B3B"/>
    <w:rsid w:val="001545C2"/>
    <w:rsid w:val="00167222"/>
    <w:rsid w:val="00167433"/>
    <w:rsid w:val="0017524A"/>
    <w:rsid w:val="00177B24"/>
    <w:rsid w:val="00181C74"/>
    <w:rsid w:val="001839E6"/>
    <w:rsid w:val="00193F11"/>
    <w:rsid w:val="001B2868"/>
    <w:rsid w:val="001B3D9F"/>
    <w:rsid w:val="001D3E0A"/>
    <w:rsid w:val="001D616D"/>
    <w:rsid w:val="001E0C53"/>
    <w:rsid w:val="001E607A"/>
    <w:rsid w:val="002060FF"/>
    <w:rsid w:val="002426DD"/>
    <w:rsid w:val="00260C4C"/>
    <w:rsid w:val="00264B5D"/>
    <w:rsid w:val="00284FE4"/>
    <w:rsid w:val="002867BB"/>
    <w:rsid w:val="00294186"/>
    <w:rsid w:val="00297F4E"/>
    <w:rsid w:val="002E1A9E"/>
    <w:rsid w:val="002E7713"/>
    <w:rsid w:val="00311902"/>
    <w:rsid w:val="003248BE"/>
    <w:rsid w:val="0033745E"/>
    <w:rsid w:val="0036337A"/>
    <w:rsid w:val="003644C2"/>
    <w:rsid w:val="003704BB"/>
    <w:rsid w:val="003756DB"/>
    <w:rsid w:val="00383224"/>
    <w:rsid w:val="003D06F5"/>
    <w:rsid w:val="003E5D84"/>
    <w:rsid w:val="0041377D"/>
    <w:rsid w:val="004146F9"/>
    <w:rsid w:val="00425F4C"/>
    <w:rsid w:val="00427FF2"/>
    <w:rsid w:val="00433FB2"/>
    <w:rsid w:val="00447D6E"/>
    <w:rsid w:val="00454EFD"/>
    <w:rsid w:val="0049017B"/>
    <w:rsid w:val="004C3CE9"/>
    <w:rsid w:val="004D0EFA"/>
    <w:rsid w:val="004E3F97"/>
    <w:rsid w:val="004E4223"/>
    <w:rsid w:val="00515631"/>
    <w:rsid w:val="00521760"/>
    <w:rsid w:val="00521FF3"/>
    <w:rsid w:val="00532E66"/>
    <w:rsid w:val="005349A9"/>
    <w:rsid w:val="005359A6"/>
    <w:rsid w:val="005569A3"/>
    <w:rsid w:val="00566745"/>
    <w:rsid w:val="00570FFB"/>
    <w:rsid w:val="005731FF"/>
    <w:rsid w:val="00591376"/>
    <w:rsid w:val="00595877"/>
    <w:rsid w:val="00595BC3"/>
    <w:rsid w:val="005A1363"/>
    <w:rsid w:val="005A4B66"/>
    <w:rsid w:val="005D7661"/>
    <w:rsid w:val="005E59AD"/>
    <w:rsid w:val="005F430B"/>
    <w:rsid w:val="005F600F"/>
    <w:rsid w:val="006002E2"/>
    <w:rsid w:val="006003A7"/>
    <w:rsid w:val="00611938"/>
    <w:rsid w:val="006152AE"/>
    <w:rsid w:val="00630B04"/>
    <w:rsid w:val="00634A9E"/>
    <w:rsid w:val="0063790B"/>
    <w:rsid w:val="0064318A"/>
    <w:rsid w:val="0064503C"/>
    <w:rsid w:val="00645DC8"/>
    <w:rsid w:val="006654F5"/>
    <w:rsid w:val="00671852"/>
    <w:rsid w:val="00681F78"/>
    <w:rsid w:val="00683254"/>
    <w:rsid w:val="00690E06"/>
    <w:rsid w:val="00691AA8"/>
    <w:rsid w:val="006D0C49"/>
    <w:rsid w:val="006D6DFE"/>
    <w:rsid w:val="006F2B05"/>
    <w:rsid w:val="006F6ED0"/>
    <w:rsid w:val="007054D3"/>
    <w:rsid w:val="00713833"/>
    <w:rsid w:val="00720541"/>
    <w:rsid w:val="00723A55"/>
    <w:rsid w:val="00725CF6"/>
    <w:rsid w:val="00743160"/>
    <w:rsid w:val="00776C4C"/>
    <w:rsid w:val="007A4479"/>
    <w:rsid w:val="007A55AF"/>
    <w:rsid w:val="007B2829"/>
    <w:rsid w:val="007C436D"/>
    <w:rsid w:val="007C7725"/>
    <w:rsid w:val="007D4D1E"/>
    <w:rsid w:val="007E573E"/>
    <w:rsid w:val="007F1516"/>
    <w:rsid w:val="00830EFC"/>
    <w:rsid w:val="008318B3"/>
    <w:rsid w:val="008354E2"/>
    <w:rsid w:val="0084488F"/>
    <w:rsid w:val="00856548"/>
    <w:rsid w:val="00857D4D"/>
    <w:rsid w:val="008961FE"/>
    <w:rsid w:val="008E1ED6"/>
    <w:rsid w:val="008E2FA5"/>
    <w:rsid w:val="008F07BB"/>
    <w:rsid w:val="008F4266"/>
    <w:rsid w:val="008F77DF"/>
    <w:rsid w:val="00903A25"/>
    <w:rsid w:val="00907D48"/>
    <w:rsid w:val="00907F4A"/>
    <w:rsid w:val="00926057"/>
    <w:rsid w:val="009479D4"/>
    <w:rsid w:val="009943AB"/>
    <w:rsid w:val="009A0689"/>
    <w:rsid w:val="009A42CD"/>
    <w:rsid w:val="009A5305"/>
    <w:rsid w:val="009D3E42"/>
    <w:rsid w:val="009E4F75"/>
    <w:rsid w:val="00A2764A"/>
    <w:rsid w:val="00A324AA"/>
    <w:rsid w:val="00A37A90"/>
    <w:rsid w:val="00A42AB4"/>
    <w:rsid w:val="00A47E79"/>
    <w:rsid w:val="00A53403"/>
    <w:rsid w:val="00A723C4"/>
    <w:rsid w:val="00A74F23"/>
    <w:rsid w:val="00A81E2D"/>
    <w:rsid w:val="00AA3F68"/>
    <w:rsid w:val="00AA6BC6"/>
    <w:rsid w:val="00AC0809"/>
    <w:rsid w:val="00AC5DEB"/>
    <w:rsid w:val="00AD165E"/>
    <w:rsid w:val="00AD1F63"/>
    <w:rsid w:val="00AD53D0"/>
    <w:rsid w:val="00AE2BBA"/>
    <w:rsid w:val="00B1329B"/>
    <w:rsid w:val="00B36482"/>
    <w:rsid w:val="00B675CD"/>
    <w:rsid w:val="00B6793D"/>
    <w:rsid w:val="00B71338"/>
    <w:rsid w:val="00B92F5D"/>
    <w:rsid w:val="00BA4490"/>
    <w:rsid w:val="00BB0D81"/>
    <w:rsid w:val="00BB1461"/>
    <w:rsid w:val="00BD0374"/>
    <w:rsid w:val="00C06AE3"/>
    <w:rsid w:val="00C17FF1"/>
    <w:rsid w:val="00C25235"/>
    <w:rsid w:val="00C31EAF"/>
    <w:rsid w:val="00C62996"/>
    <w:rsid w:val="00C87107"/>
    <w:rsid w:val="00CA3B39"/>
    <w:rsid w:val="00CA4F13"/>
    <w:rsid w:val="00CC6F9D"/>
    <w:rsid w:val="00CD1A95"/>
    <w:rsid w:val="00CE3CE9"/>
    <w:rsid w:val="00D03D91"/>
    <w:rsid w:val="00D151B6"/>
    <w:rsid w:val="00D1635E"/>
    <w:rsid w:val="00D31BB8"/>
    <w:rsid w:val="00D52833"/>
    <w:rsid w:val="00D56074"/>
    <w:rsid w:val="00D67AA3"/>
    <w:rsid w:val="00D85B20"/>
    <w:rsid w:val="00DA7DF2"/>
    <w:rsid w:val="00DC7DAB"/>
    <w:rsid w:val="00DD502C"/>
    <w:rsid w:val="00DE012A"/>
    <w:rsid w:val="00DE5503"/>
    <w:rsid w:val="00E01BDB"/>
    <w:rsid w:val="00E41B13"/>
    <w:rsid w:val="00E438FC"/>
    <w:rsid w:val="00E51C6C"/>
    <w:rsid w:val="00E55F45"/>
    <w:rsid w:val="00EB1BF1"/>
    <w:rsid w:val="00EB4EAA"/>
    <w:rsid w:val="00EB6B0D"/>
    <w:rsid w:val="00EC305D"/>
    <w:rsid w:val="00EE2D54"/>
    <w:rsid w:val="00EE5A1B"/>
    <w:rsid w:val="00EF7D30"/>
    <w:rsid w:val="00F018EA"/>
    <w:rsid w:val="00F0230A"/>
    <w:rsid w:val="00F119A8"/>
    <w:rsid w:val="00F136B6"/>
    <w:rsid w:val="00F21122"/>
    <w:rsid w:val="00F718FF"/>
    <w:rsid w:val="00F76144"/>
    <w:rsid w:val="00FA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E1A9E"/>
    <w:pPr>
      <w:keepNext/>
      <w:tabs>
        <w:tab w:val="left" w:pos="3600"/>
        <w:tab w:val="left" w:pos="4320"/>
        <w:tab w:val="left" w:pos="5040"/>
        <w:tab w:val="left" w:pos="5850"/>
        <w:tab w:val="left" w:pos="6480"/>
        <w:tab w:val="left" w:pos="7110"/>
      </w:tabs>
      <w:jc w:val="both"/>
      <w:outlineLvl w:val="1"/>
    </w:pPr>
    <w:rPr>
      <w:rFonts w:ascii="Humanst521 Cn BT" w:hAnsi="Humanst521 Cn BT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5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3D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566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2E1A9E"/>
    <w:rPr>
      <w:rFonts w:ascii="Humanst521 Cn BT" w:eastAsia="Times New Roman" w:hAnsi="Humanst521 Cn BT" w:cs="Times New Roman"/>
      <w:b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725C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5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C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5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CF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E1A9E"/>
    <w:pPr>
      <w:keepNext/>
      <w:tabs>
        <w:tab w:val="left" w:pos="3600"/>
        <w:tab w:val="left" w:pos="4320"/>
        <w:tab w:val="left" w:pos="5040"/>
        <w:tab w:val="left" w:pos="5850"/>
        <w:tab w:val="left" w:pos="6480"/>
        <w:tab w:val="left" w:pos="7110"/>
      </w:tabs>
      <w:jc w:val="both"/>
      <w:outlineLvl w:val="1"/>
    </w:pPr>
    <w:rPr>
      <w:rFonts w:ascii="Humanst521 Cn BT" w:hAnsi="Humanst521 Cn BT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5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3D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566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2E1A9E"/>
    <w:rPr>
      <w:rFonts w:ascii="Humanst521 Cn BT" w:eastAsia="Times New Roman" w:hAnsi="Humanst521 Cn BT" w:cs="Times New Roman"/>
      <w:b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725C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5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C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5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C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an.odonnell@dc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na.sheppard@dc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Sheppard, Dana (DISB)</dc:creator>
  <cp:keywords/>
  <dc:description/>
  <cp:lastModifiedBy>Sheppard, Dana (DISB)</cp:lastModifiedBy>
  <cp:revision>2</cp:revision>
  <dcterms:created xsi:type="dcterms:W3CDTF">2012-10-04T16:27:00Z</dcterms:created>
  <dcterms:modified xsi:type="dcterms:W3CDTF">2012-10-04T16:27:00Z</dcterms:modified>
</cp:coreProperties>
</file>